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10609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"/>
        <w:gridCol w:w="2917"/>
        <w:gridCol w:w="3687"/>
        <w:gridCol w:w="3755"/>
      </w:tblGrid>
      <w:tr>
        <w:tblPrEx/>
        <w:trPr>
          <w:jc w:val="center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359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УТВЕРЖДАЮ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Начальник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управления социальный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защиты населения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bookmarkStart w:id="0" w:name="_GoBack"/>
            <w:r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Белгородского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муниципального округа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2917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3687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6" w:space="0"/>
              <w:right w:val="none" w:color="000000" w:sz="4" w:space="0"/>
            </w:tcBorders>
            <w:tcW w:w="3755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О.В. Люлина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7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87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55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(подпись руководителя)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7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87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55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М.П.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359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"_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_" __________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___ 20_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ind w:right="-426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right="-426"/>
        <w:jc w:val="center"/>
        <w:spacing w:after="150" w:line="240" w:lineRule="auto"/>
        <w:widowControl w:val="off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ОТЧЕТ ОПЕКУНА О ХРАНЕНИИ, ОБ ИСПОЛЬЗОВАНИИ ИМУЩЕСТВА СОВЕРШЕННОЛЕТНЕГО НЕДЕЕСПОСОБНОГО ГРАЖДАНИНА И УПРАВЛЕНИИ ЭТИМ ИМУЩЕСТВОМ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ind w:right="-426"/>
        <w:jc w:val="center"/>
        <w:spacing w:after="15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</w:t>
      </w:r>
      <w:r>
        <w:rPr>
          <w:rFonts w:ascii="Times New Roman" w:hAnsi="Times New Roman"/>
          <w:sz w:val="24"/>
          <w:szCs w:val="24"/>
        </w:rPr>
        <w:t xml:space="preserve"> отчетный период с "</w:t>
      </w:r>
      <w:r>
        <w:rPr>
          <w:rFonts w:ascii="Times New Roman" w:hAnsi="Times New Roman"/>
          <w:sz w:val="24"/>
          <w:szCs w:val="24"/>
          <w:u w:val="single"/>
        </w:rPr>
        <w:t xml:space="preserve">01</w:t>
      </w:r>
      <w:r>
        <w:rPr>
          <w:rFonts w:ascii="Times New Roman" w:hAnsi="Times New Roman"/>
          <w:sz w:val="24"/>
          <w:szCs w:val="24"/>
        </w:rPr>
        <w:t xml:space="preserve">" </w:t>
      </w:r>
      <w:r>
        <w:rPr>
          <w:rFonts w:ascii="Times New Roman" w:hAnsi="Times New Roman"/>
          <w:sz w:val="24"/>
          <w:szCs w:val="24"/>
        </w:rPr>
        <w:t xml:space="preserve">я</w:t>
      </w:r>
      <w:r>
        <w:rPr>
          <w:rFonts w:ascii="Times New Roman" w:hAnsi="Times New Roman"/>
          <w:sz w:val="24"/>
          <w:szCs w:val="24"/>
          <w:u w:val="single"/>
        </w:rPr>
        <w:t xml:space="preserve">нваря</w:t>
      </w:r>
      <w:r>
        <w:rPr>
          <w:rFonts w:ascii="Times New Roman" w:hAnsi="Times New Roman"/>
          <w:sz w:val="24"/>
          <w:szCs w:val="24"/>
        </w:rPr>
        <w:t xml:space="preserve"> 2026</w:t>
      </w:r>
      <w:r>
        <w:rPr>
          <w:rFonts w:ascii="Times New Roman" w:hAnsi="Times New Roman"/>
          <w:sz w:val="24"/>
          <w:szCs w:val="24"/>
        </w:rPr>
        <w:t xml:space="preserve"> г. по "</w:t>
      </w:r>
      <w:r>
        <w:rPr>
          <w:rFonts w:ascii="Times New Roman" w:hAnsi="Times New Roman"/>
          <w:sz w:val="24"/>
          <w:szCs w:val="24"/>
          <w:u w:val="single"/>
        </w:rPr>
        <w:t xml:space="preserve">31</w:t>
      </w:r>
      <w:r>
        <w:rPr>
          <w:rFonts w:ascii="Times New Roman" w:hAnsi="Times New Roman"/>
          <w:sz w:val="24"/>
          <w:szCs w:val="24"/>
        </w:rPr>
        <w:t xml:space="preserve">" </w:t>
      </w:r>
      <w:r>
        <w:rPr>
          <w:rFonts w:ascii="Times New Roman" w:hAnsi="Times New Roman"/>
          <w:sz w:val="24"/>
          <w:szCs w:val="24"/>
          <w:u w:val="single"/>
        </w:rPr>
        <w:t xml:space="preserve">декабря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2026</w:t>
      </w:r>
      <w:r>
        <w:rPr>
          <w:rFonts w:ascii="Times New Roman" w:hAnsi="Times New Roman"/>
          <w:sz w:val="24"/>
          <w:szCs w:val="24"/>
        </w:rPr>
        <w:t xml:space="preserve"> г.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5"/>
        <w:gridCol w:w="1725"/>
        <w:gridCol w:w="1248"/>
        <w:gridCol w:w="5467"/>
        <w:gridCol w:w="537"/>
      </w:tblGrid>
      <w:tr>
        <w:tblPrEx/>
        <w:trPr>
          <w:jc w:val="center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5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Опекун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auto" w:sz="6" w:space="0"/>
              <w:right w:val="none" w:color="000000" w:sz="4" w:space="0"/>
            </w:tcBorders>
            <w:tcW w:w="844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7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5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440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(ф.и.о.)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7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7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проживающий по адресу: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auto" w:sz="6" w:space="0"/>
              <w:right w:val="none" w:color="000000" w:sz="4" w:space="0"/>
            </w:tcBorders>
            <w:tcW w:w="7252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7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52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(почтовый индекс, полный адрес)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blPrEx/>
        <w:trPr>
          <w:jc w:val="center"/>
        </w:trPr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18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Документ, удостоверяющий личность,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6" w:space="0"/>
              <w:right w:val="none" w:color="000000" w:sz="4" w:space="0"/>
            </w:tcBorders>
            <w:tcW w:w="6004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паспорт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18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004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(вид документа)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ind w:right="-426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3118"/>
        <w:gridCol w:w="1134"/>
        <w:gridCol w:w="4677"/>
      </w:tblGrid>
      <w:tr>
        <w:tblPrEx/>
        <w:trPr>
          <w:jc w:val="center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3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серия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6" w:space="0"/>
              <w:right w:val="none" w:color="000000" w:sz="4" w:space="0"/>
            </w:tcBorders>
            <w:tcW w:w="3118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номер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6" w:space="0"/>
              <w:right w:val="none" w:color="000000" w:sz="4" w:space="0"/>
            </w:tcBorders>
            <w:tcW w:w="4677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ind w:right="-426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6661"/>
      </w:tblGrid>
      <w:tr>
        <w:tblPrEx/>
        <w:trPr>
          <w:jc w:val="center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61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кем и когда выдан документ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6" w:space="0"/>
              <w:right w:val="none" w:color="000000" w:sz="4" w:space="0"/>
            </w:tcBorders>
            <w:tcW w:w="6661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6" w:space="0"/>
              <w:right w:val="none" w:color="000000" w:sz="4" w:space="0"/>
            </w:tcBorders>
            <w:tcW w:w="9922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ind w:right="-426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1485"/>
        <w:gridCol w:w="1681"/>
        <w:gridCol w:w="2081"/>
        <w:gridCol w:w="2407"/>
      </w:tblGrid>
      <w:tr>
        <w:tblPrEx/>
        <w:trPr>
          <w:jc w:val="center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68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рождения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6" w:space="0"/>
              <w:right w:val="none" w:color="000000" w:sz="4" w:space="0"/>
            </w:tcBorders>
            <w:tcW w:w="1485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681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Место рождения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6" w:space="0"/>
              <w:right w:val="none" w:color="000000" w:sz="4" w:space="0"/>
            </w:tcBorders>
            <w:tcW w:w="4488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68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Телефоны: домашний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none" w:color="000000" w:sz="4" w:space="0"/>
              <w:bottom w:val="single" w:color="auto" w:sz="6" w:space="0"/>
              <w:right w:val="none" w:color="000000" w:sz="4" w:space="0"/>
            </w:tcBorders>
            <w:tcW w:w="1485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681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81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рабочий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none" w:color="000000" w:sz="4" w:space="0"/>
              <w:bottom w:val="single" w:color="auto" w:sz="6" w:space="0"/>
              <w:right w:val="none" w:color="000000" w:sz="4" w:space="0"/>
            </w:tcBorders>
            <w:tcW w:w="2407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ind w:right="-426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16"/>
        <w:gridCol w:w="7106"/>
      </w:tblGrid>
      <w:tr>
        <w:tblPrEx/>
        <w:trPr>
          <w:jc w:val="center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3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Место работы, должность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6" w:space="0"/>
              <w:right w:val="none" w:color="000000" w:sz="4" w:space="0"/>
            </w:tcBorders>
            <w:tcW w:w="7464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3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Другие опекуны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&lt;***&gt;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none" w:color="000000" w:sz="4" w:space="0"/>
              <w:bottom w:val="single" w:color="auto" w:sz="6" w:space="0"/>
              <w:right w:val="none" w:color="000000" w:sz="4" w:space="0"/>
            </w:tcBorders>
            <w:tcW w:w="7464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3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464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(ф.и.о.)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ind w:right="-426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83"/>
        <w:gridCol w:w="8200"/>
        <w:gridCol w:w="239"/>
      </w:tblGrid>
      <w:tr>
        <w:tblPrEx/>
        <w:trPr>
          <w:jc w:val="center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4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Подопечный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6" w:space="0"/>
              <w:right w:val="none" w:color="000000" w:sz="4" w:space="0"/>
            </w:tcBorders>
            <w:tcW w:w="8613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4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613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(ф.и.о. совершеннолетнего недееспособного гражданина)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ind w:right="-426"/>
        <w:spacing w:after="0" w:line="240" w:lineRule="auto"/>
        <w:widowControl w:val="off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53"/>
        <w:gridCol w:w="7869"/>
      </w:tblGrid>
      <w:tr>
        <w:tblPrEx/>
        <w:trPr>
          <w:jc w:val="center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94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проживающий по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адресу: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6" w:space="0"/>
              <w:right w:val="none" w:color="000000" w:sz="4" w:space="0"/>
            </w:tcBorders>
            <w:tcW w:w="8329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94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29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(почтовый индекс, полный адрес)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94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Опека установлена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6" w:space="0"/>
              <w:right w:val="none" w:color="000000" w:sz="4" w:space="0"/>
            </w:tcBorders>
            <w:tcW w:w="8329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94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29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(наименование органа опеки и попечительства)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6" w:space="0"/>
              <w:right w:val="none" w:color="000000" w:sz="4" w:space="0"/>
            </w:tcBorders>
            <w:tcW w:w="10423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gridSpan w:val="2"/>
            <w:tcBorders>
              <w:top w:val="single" w:color="auto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423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(дата и номер акта органа опеки и попечительства)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ind w:right="-426"/>
        <w:jc w:val="both"/>
        <w:spacing w:after="0" w:line="240" w:lineRule="auto"/>
        <w:widowControl w:val="off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&lt;*&gt; В случае если настоящий отчет представляется в соответствии со </w:t>
      </w:r>
      <w:hyperlink r:id="rId10" w:tooltip="https://normativ.kontur.ru/document?moduleid=1&amp;documentid=461821#l367" w:anchor="l367" w:history="1">
        <w:r>
          <w:rPr>
            <w:rFonts w:ascii="Times New Roman" w:hAnsi="Times New Roman"/>
            <w:sz w:val="18"/>
            <w:szCs w:val="18"/>
            <w:u w:val="single"/>
          </w:rPr>
          <w:t xml:space="preserve">статьей 25</w:t>
        </w:r>
      </w:hyperlink>
      <w:r>
        <w:rPr>
          <w:rFonts w:ascii="Times New Roman" w:hAnsi="Times New Roman"/>
          <w:sz w:val="18"/>
          <w:szCs w:val="18"/>
        </w:rPr>
        <w:t xml:space="preserve"> Федерального закона "Об опеке и попечительстве", окончанием отчетного периода является 31 декабря года, предшествующего году представления настоящего отчета, если настоящий отчет представляется в соответствии со </w:t>
      </w:r>
      <w:hyperlink r:id="rId11" w:tooltip="https://normativ.kontur.ru/document?moduleid=1&amp;documentid=461821#l378" w:anchor="l378" w:history="1">
        <w:r>
          <w:rPr>
            <w:rFonts w:ascii="Times New Roman" w:hAnsi="Times New Roman"/>
            <w:sz w:val="18"/>
            <w:szCs w:val="18"/>
            <w:u w:val="single"/>
          </w:rPr>
          <w:t xml:space="preserve">статьей 30</w:t>
        </w:r>
      </w:hyperlink>
      <w:r>
        <w:rPr>
          <w:rFonts w:ascii="Times New Roman" w:hAnsi="Times New Roman"/>
          <w:sz w:val="18"/>
          <w:szCs w:val="18"/>
        </w:rPr>
        <w:t xml:space="preserve"> Федерального закона "Об опеке и попечительстве", - дата, предшествующая прекращению исполнения обязанностей опекуна.</w:t>
      </w:r>
      <w:r>
        <w:rPr>
          <w:rFonts w:ascii="Times New Roman" w:hAnsi="Times New Roman"/>
          <w:sz w:val="18"/>
          <w:szCs w:val="18"/>
        </w:rPr>
      </w:r>
      <w:r>
        <w:rPr>
          <w:rFonts w:ascii="Times New Roman" w:hAnsi="Times New Roman"/>
          <w:sz w:val="18"/>
          <w:szCs w:val="18"/>
        </w:rPr>
      </w:r>
    </w:p>
    <w:p>
      <w:pPr>
        <w:ind w:right="-426"/>
        <w:jc w:val="both"/>
        <w:spacing w:after="150" w:line="240" w:lineRule="auto"/>
        <w:widowControl w:val="off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18"/>
          <w:szCs w:val="18"/>
        </w:rPr>
        <w:t xml:space="preserve">&lt;**&gt; В случае если подопечному назначено несколько опекунов, указывается опекун, который сдает настоящий отчет.</w:t>
      </w:r>
      <w:r>
        <w:rPr>
          <w:rFonts w:ascii="Times New Roman" w:hAnsi="Times New Roman"/>
          <w:sz w:val="18"/>
          <w:szCs w:val="18"/>
        </w:rPr>
        <w:br/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&lt;***&gt; Заполняется, если подопечному назначено несколько опекунов.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ind w:right="-426"/>
        <w:jc w:val="center"/>
        <w:spacing w:after="15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1. Сведения об имуществе совершеннолетнего недееспособного гражданина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1.1. Недвижимое имущество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10489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7"/>
        <w:gridCol w:w="2133"/>
        <w:gridCol w:w="1737"/>
        <w:gridCol w:w="2268"/>
        <w:gridCol w:w="1276"/>
        <w:gridCol w:w="2408"/>
      </w:tblGrid>
      <w:tr>
        <w:tblPrEx/>
        <w:trPr>
          <w:jc w:val="center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67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 п/п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133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Вид и наименование имущества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7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Основание приобретения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&lt;*&gt;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268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Место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н</w:t>
            </w:r>
            <w:r>
              <w:rPr>
                <w:rFonts w:ascii="Times New Roman" w:hAnsi="Times New Roman"/>
              </w:rPr>
              <w:t xml:space="preserve">ахождения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(адрес)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6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Площадь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(кв. метров)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408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Сведения о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государственной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регистрации прав на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имущество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67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133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7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268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6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408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667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133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Земельные участки &lt;**&gt;: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7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268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6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408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none" w:color="000000" w:sz="4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667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133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7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268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6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408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667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133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Жилые дома: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7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268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6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408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none" w:color="000000" w:sz="4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667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133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7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268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6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408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667" w:type="dxa"/>
            <w:vMerge w:val="restart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133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Квартиры: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7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268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6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408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none" w:color="000000" w:sz="4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667" w:type="dxa"/>
            <w:vMerge w:val="continue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133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7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268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6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8" w:type="dxa"/>
            <w:vAlign w:val="center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67" w:type="dxa"/>
            <w:vMerge w:val="continue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133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7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268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6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408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667" w:type="dxa"/>
            <w:vMerge w:val="restart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133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Гаражи: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7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268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6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408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none" w:color="000000" w:sz="4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667" w:type="dxa"/>
            <w:vMerge w:val="continue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133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7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268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6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408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none" w:color="000000" w:sz="4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667" w:type="dxa"/>
            <w:vMerge w:val="continue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133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7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268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6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408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67" w:type="dxa"/>
            <w:vMerge w:val="continue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133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7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268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6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408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91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67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133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Иное недвижимое имущество: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7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268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6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408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67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133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7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268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6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408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ind w:right="-426"/>
        <w:jc w:val="both"/>
        <w:spacing w:after="0" w:line="240" w:lineRule="auto"/>
        <w:widowControl w:val="off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&lt;*&gt; Указываются основание приобретения (покупка, мена, дарение, наследование, приватизация и другие), а также дата и номер соответствующего договора или акта.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ind w:right="-426"/>
        <w:jc w:val="both"/>
        <w:spacing w:after="150" w:line="240" w:lineRule="auto"/>
        <w:widowControl w:val="off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&lt;**&gt; Указывается вид земельного участка (пая, доли): под индивидуальное жилищное строительство, садовый, приусадебный, огородный и другие виды.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ind w:right="-426"/>
        <w:jc w:val="center"/>
        <w:spacing w:after="15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Транспортные средства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10150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3"/>
        <w:gridCol w:w="3402"/>
        <w:gridCol w:w="2342"/>
        <w:gridCol w:w="3733"/>
      </w:tblGrid>
      <w:tr>
        <w:tblPrEx/>
        <w:trPr>
          <w:jc w:val="center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73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 п/п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402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Вид и марка транспортного средства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342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Основание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приобретения &lt;*&gt;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733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Место регистрации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73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402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342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733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673" w:type="dxa"/>
            <w:vMerge w:val="restart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402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Автомобили легковые: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342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733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none" w:color="000000" w:sz="4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673" w:type="dxa"/>
            <w:vMerge w:val="continue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402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342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733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73" w:type="dxa"/>
            <w:vMerge w:val="continue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402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342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733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673" w:type="dxa"/>
            <w:vMerge w:val="restart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402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Иные транспортные средства: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342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733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none" w:color="000000" w:sz="4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673" w:type="dxa"/>
            <w:vMerge w:val="continue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402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342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733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none" w:color="000000" w:sz="4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673" w:type="dxa"/>
            <w:vMerge w:val="continue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402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342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733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73" w:type="dxa"/>
            <w:vMerge w:val="continue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402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342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733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ind w:right="-426"/>
        <w:jc w:val="both"/>
        <w:spacing w:after="0" w:line="240" w:lineRule="auto"/>
        <w:widowControl w:val="off"/>
        <w:rPr>
          <w:rFonts w:ascii="Times New Roman" w:hAnsi="Times New Roman"/>
          <w:sz w:val="20"/>
          <w:szCs w:val="20"/>
          <w:highlight w:val="none"/>
        </w:rPr>
      </w:pPr>
      <w:r>
        <w:rPr>
          <w:rFonts w:ascii="Times New Roman" w:hAnsi="Times New Roman"/>
          <w:sz w:val="20"/>
          <w:szCs w:val="20"/>
        </w:rPr>
        <w:t xml:space="preserve">&lt;*&gt; Указываются основание приобретения (покупка, мена, дарение, наследование и другие), а также дата и номер соответствующего договора или акта.</w:t>
      </w:r>
      <w:r>
        <w:rPr>
          <w:rFonts w:ascii="Times New Roman" w:hAnsi="Times New Roman"/>
          <w:sz w:val="20"/>
          <w:szCs w:val="20"/>
          <w:highlight w:val="none"/>
        </w:rPr>
      </w:r>
      <w:r>
        <w:rPr>
          <w:rFonts w:ascii="Times New Roman" w:hAnsi="Times New Roman"/>
          <w:sz w:val="20"/>
          <w:szCs w:val="20"/>
          <w:highlight w:val="none"/>
        </w:rPr>
      </w:r>
    </w:p>
    <w:p>
      <w:pPr>
        <w:ind w:right="-426"/>
        <w:jc w:val="both"/>
        <w:spacing w:after="0" w:line="240" w:lineRule="auto"/>
        <w:widowControl w:val="off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highlight w:val="none"/>
        </w:rPr>
      </w:r>
      <w:r>
        <w:rPr>
          <w:rFonts w:ascii="Times New Roman" w:hAnsi="Times New Roman"/>
          <w:sz w:val="20"/>
          <w:szCs w:val="20"/>
          <w:highlight w:val="none"/>
        </w:rPr>
      </w:r>
      <w:r>
        <w:rPr>
          <w:rFonts w:ascii="Times New Roman" w:hAnsi="Times New Roman"/>
          <w:sz w:val="20"/>
          <w:szCs w:val="20"/>
        </w:rPr>
      </w:r>
    </w:p>
    <w:p>
      <w:pPr>
        <w:ind w:right="-426"/>
        <w:jc w:val="center"/>
        <w:spacing w:after="0" w:line="240" w:lineRule="auto"/>
        <w:widowControl w:val="off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1.3. Денежные средства, находящиеся на счетах в кредитных организациях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ind w:right="-426"/>
        <w:jc w:val="center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10102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1870"/>
        <w:gridCol w:w="1559"/>
        <w:gridCol w:w="1161"/>
        <w:gridCol w:w="2474"/>
        <w:gridCol w:w="1160"/>
        <w:gridCol w:w="1248"/>
      </w:tblGrid>
      <w:tr>
        <w:tblPrEx/>
        <w:trPr>
          <w:jc w:val="center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 п/п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7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 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адрес кредитной организации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Вид и валюта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счета &lt;*&gt;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61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Дата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о</w:t>
            </w:r>
            <w:r>
              <w:rPr>
                <w:rFonts w:ascii="Times New Roman" w:hAnsi="Times New Roman"/>
              </w:rPr>
              <w:t xml:space="preserve">ткрытия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счета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474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Номер счета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6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Остаток на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счете &lt;**&gt; (рублей)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48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Процентная ставка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по вкладам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0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70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61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474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60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48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7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СБЕР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Номинальный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Российский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рубль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61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474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60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48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7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61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474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6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48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ind w:right="-426"/>
        <w:jc w:val="both"/>
        <w:spacing w:after="0" w:line="240" w:lineRule="auto"/>
        <w:widowControl w:val="off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&lt;*&gt; Указываются вид счета (номинальный, депозитный, текущий, расчетный, ссудный и другие) и валюта счета.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ind w:right="-426"/>
        <w:jc w:val="both"/>
        <w:spacing w:after="150" w:line="240" w:lineRule="auto"/>
        <w:widowControl w:val="off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&lt;**&gt; Остаток на счете указывается на конец отчетного периода. Для счетов в иностранной валюте остаток указывается в </w:t>
      </w:r>
      <w:r>
        <w:rPr>
          <w:rFonts w:ascii="Times New Roman" w:hAnsi="Times New Roman"/>
          <w:sz w:val="20"/>
          <w:szCs w:val="20"/>
        </w:rPr>
        <w:t xml:space="preserve">рублях по курсу Банка России на конец отчетного периода.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ind w:right="-426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right="-426"/>
        <w:jc w:val="center"/>
        <w:spacing w:after="15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 Ценные бумаги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right="-426"/>
        <w:jc w:val="center"/>
        <w:spacing w:after="15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1.4.1. Акции и иное участие в коммерческих организациях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10336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2070"/>
        <w:gridCol w:w="1620"/>
        <w:gridCol w:w="1530"/>
        <w:gridCol w:w="1452"/>
        <w:gridCol w:w="3124"/>
      </w:tblGrid>
      <w:tr>
        <w:tblPrEx/>
        <w:trPr>
          <w:jc w:val="center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4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 п/п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07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 и организационно-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правовая форма организации &lt;*&gt;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Место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нахождения организации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(адрес)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3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Уставный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капитал &lt;**&gt; (рублей)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52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Доля участия (процентов)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24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 и дата документа </w:t>
            </w:r>
            <w:r>
              <w:rPr>
                <w:rFonts w:ascii="Times New Roman" w:hAnsi="Times New Roman"/>
              </w:rPr>
              <w:t xml:space="preserve">–</w:t>
            </w:r>
            <w:r>
              <w:rPr>
                <w:rFonts w:ascii="Times New Roman" w:hAnsi="Times New Roman"/>
              </w:rPr>
              <w:t xml:space="preserve"> основания долевого &lt;***&gt;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участия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40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070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30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52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24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40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070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30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52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24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40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070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0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30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52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24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jc w:val="both"/>
        <w:spacing w:after="0" w:line="240" w:lineRule="auto"/>
        <w:widowControl w:val="off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&lt;*&gt; 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 и другие).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&lt;**&gt; Уста</w:t>
      </w:r>
      <w:r>
        <w:rPr>
          <w:rFonts w:ascii="Times New Roman" w:hAnsi="Times New Roman"/>
          <w:sz w:val="20"/>
          <w:szCs w:val="20"/>
        </w:rPr>
        <w:t xml:space="preserve">вный капитал указывается согласно учредительным документам организации по состоянию на конец отчетного периода. Для уставных капиталов, выраженных в иностранной валюте, уставный капитал указывается в рублях по курсу Банка России на конец отчетного периода.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&lt;***&gt; Указываются основание долевого участия (учредительный договор, покупка, мена, дарение, наследование и другие), а также дата и номер соответствующего договора или акта.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right="-426"/>
        <w:jc w:val="center"/>
        <w:spacing w:after="15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1.4.2. Иные ценные бумаги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1350"/>
        <w:gridCol w:w="2070"/>
        <w:gridCol w:w="2070"/>
        <w:gridCol w:w="1350"/>
        <w:gridCol w:w="2393"/>
      </w:tblGrid>
      <w:tr>
        <w:tblPrEx/>
        <w:trPr>
          <w:jc w:val="center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4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 п/п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5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Вид ценной бумаги &lt;*&gt;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07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Юридическое лицо, выпустившее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ценную бумагу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07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Номинальная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стоимость ценной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бумаги (рублей)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5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(штук)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393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Общая стоимость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&lt;**&gt; (рублей)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40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50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070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070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50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393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40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50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070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070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50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393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40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50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070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070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50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393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ind w:right="-426"/>
        <w:jc w:val="both"/>
        <w:spacing w:after="0" w:line="240" w:lineRule="auto"/>
        <w:widowControl w:val="off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&lt;*&gt; Указываются все ценные бумаги по видам (облигации, векселя и другие), за исключением акций, указанных в подпункте 1.4.1 настоящего отчета.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ind w:right="-426"/>
        <w:jc w:val="both"/>
        <w:spacing w:after="150" w:line="240" w:lineRule="auto"/>
        <w:widowControl w:val="off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&lt;**&gt; Указывается общая стоимость ценных бумаг данного вида исходя из стоимости их приобретения (а если ее нельзя определить </w:t>
      </w:r>
      <w:r>
        <w:rPr>
          <w:rFonts w:ascii="Times New Roman" w:hAnsi="Times New Roman"/>
          <w:sz w:val="20"/>
          <w:szCs w:val="20"/>
        </w:rPr>
        <w:t xml:space="preserve">–</w:t>
      </w:r>
      <w:r>
        <w:rPr>
          <w:rFonts w:ascii="Times New Roman" w:hAnsi="Times New Roman"/>
          <w:sz w:val="20"/>
          <w:szCs w:val="20"/>
        </w:rPr>
        <w:t xml:space="preserve">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конец отчетного периода.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ind w:right="-426"/>
        <w:spacing w:after="15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4"/>
        <w:gridCol w:w="3000"/>
        <w:gridCol w:w="3115"/>
      </w:tblGrid>
      <w:tr>
        <w:tblPrEx/>
        <w:trPr>
          <w:jc w:val="center"/>
        </w:trPr>
        <w:tc>
          <w:tcPr>
            <w:tcW w:w="3694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Всего по подпункту 1.4 настоящего отчета общая стоимость ценных бумаг, включая доли участия в коммерческих организациях, на конец отчетного периода составляет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00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15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рублей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(рубля)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3694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000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(сумма прописью)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15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ind w:right="-426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11"/>
        <w:gridCol w:w="4121"/>
      </w:tblGrid>
      <w:tr>
        <w:tblPrEx/>
        <w:trPr>
          <w:jc w:val="center"/>
        </w:trPr>
        <w:tc>
          <w:tcPr>
            <w:tcBorders>
              <w:top w:val="none" w:color="000000" w:sz="4" w:space="0"/>
              <w:left w:val="none" w:color="000000" w:sz="4" w:space="0"/>
              <w:bottom w:val="single" w:color="auto" w:sz="6" w:space="0"/>
              <w:right w:val="none" w:color="000000" w:sz="4" w:space="0"/>
            </w:tcBorders>
            <w:tcW w:w="5711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121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копеек (копейки).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11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(сумма прописью)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121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ind w:right="-426"/>
        <w:jc w:val="center"/>
        <w:spacing w:after="15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right="-426"/>
        <w:jc w:val="center"/>
        <w:spacing w:after="15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Сведения о сохранности имущества совершеннолетнего недееспособного гражданина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9950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9"/>
        <w:gridCol w:w="2220"/>
        <w:gridCol w:w="3309"/>
        <w:gridCol w:w="3402"/>
      </w:tblGrid>
      <w:tr>
        <w:tblPrEx/>
        <w:trPr>
          <w:jc w:val="center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19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 п/п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22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 имущества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309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Изменение состава имущества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&lt;*&gt;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402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Примечание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&lt;**&gt;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19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220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309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402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19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22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309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изменен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402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19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22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309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402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jc w:val="both"/>
        <w:spacing w:after="0" w:line="240" w:lineRule="auto"/>
        <w:widowControl w:val="off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&lt;*&gt; Указываются сведения об изменении состава имущества, в том числе даты получения средств со счета совершеннолетнего недееспособного гражданина, подтвержденные соответствующими документами.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&lt;**&gt; Указываются дата и номер акта органа опеки и попечительства, разрешающего произвести действия, изменяющие состав имущества совершеннолетнего недееспособного гражданина, в случаях, предусмотренных </w:t>
      </w:r>
      <w:r>
        <w:rPr>
          <w:rFonts w:ascii="Times New Roman" w:hAnsi="Times New Roman"/>
          <w:sz w:val="20"/>
          <w:szCs w:val="20"/>
        </w:rPr>
        <w:t xml:space="preserve">законодательством Российской Федерации.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3. Сведения о доходах совершеннолетнего недееспособного гражданина &lt;*&gt;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5850"/>
        <w:gridCol w:w="3124"/>
      </w:tblGrid>
      <w:tr>
        <w:tblPrEx/>
        <w:trPr>
          <w:jc w:val="center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п/п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850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 дохода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24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Величина дохода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(рублей)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0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850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24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85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Заработная плата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24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85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Стипендия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24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85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Алименты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24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85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Пенсия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24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85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Пособия и иные социальные выплаты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24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85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Компенсационные выплаты и дополнительное ежемесячное материальное обеспечение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24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85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Единовременные страховые выплаты, производимые в возмещение ущерба, причиненного жизни и здоровью совершеннолетнего недееспособного гражданина, его личному имуществу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24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85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Наследуемые совершеннолетним недееспособным гражданином и подаренные ему денежные средства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24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85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Иные доходы (указать вид дохода) &lt;**&gt;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24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85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24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85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24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85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24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jc w:val="both"/>
        <w:spacing w:after="0" w:line="240" w:lineRule="auto"/>
        <w:widowControl w:val="off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&lt;*&gt; В случае если отчет заполняется опекуном - близким родственником, выразившим желание стать опекуном, из числа лиц, ука</w:t>
      </w:r>
      <w:r>
        <w:rPr>
          <w:rFonts w:ascii="Times New Roman" w:hAnsi="Times New Roman"/>
          <w:sz w:val="20"/>
          <w:szCs w:val="20"/>
        </w:rPr>
        <w:t xml:space="preserve">занных в пункте 41 Правил подбора, учета и подготовки граждан, выразивших желание стать опекунами или попечителями совершеннолетних недееспособных или не полностью дееспособных граждан, утвержденных постановлением Правительства Российской Федерации от 17 н</w:t>
      </w:r>
      <w:r>
        <w:rPr>
          <w:rFonts w:ascii="Times New Roman" w:hAnsi="Times New Roman"/>
          <w:sz w:val="20"/>
          <w:szCs w:val="20"/>
        </w:rPr>
        <w:t xml:space="preserve">оября 2010 г. N 927 "Об отдельных вопросах осуществления опеки и попечительства в отношении совершеннолетних недееспособных или не полностью дееспособных граждан", пункты 4 и 5 сведений о доходах совершеннолетнего недееспособного гражданина не заполняются.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/>
          <w:sz w:val="20"/>
          <w:szCs w:val="20"/>
          <w:highlight w:val="none"/>
        </w:rPr>
      </w:pPr>
      <w:r>
        <w:rPr>
          <w:rFonts w:ascii="Times New Roman" w:hAnsi="Times New Roman"/>
          <w:sz w:val="20"/>
          <w:szCs w:val="20"/>
        </w:rPr>
        <w:t xml:space="preserve">&lt;**&gt; Указываются иные доходы совершеннолетнего недееспособного гражданина, за исключением доходов, указанных в пункте 4 настоящего отчета.</w:t>
      </w:r>
      <w:r>
        <w:rPr>
          <w:rFonts w:ascii="Times New Roman" w:hAnsi="Times New Roman"/>
          <w:sz w:val="20"/>
          <w:szCs w:val="20"/>
          <w:highlight w:val="none"/>
        </w:rPr>
      </w:r>
      <w:r>
        <w:rPr>
          <w:rFonts w:ascii="Times New Roman" w:hAnsi="Times New Roman"/>
          <w:sz w:val="20"/>
          <w:szCs w:val="20"/>
          <w:highlight w:val="none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highlight w:val="none"/>
        </w:rPr>
      </w:r>
      <w:r>
        <w:rPr>
          <w:rFonts w:ascii="Times New Roman" w:hAnsi="Times New Roman"/>
          <w:sz w:val="20"/>
          <w:szCs w:val="20"/>
          <w:highlight w:val="none"/>
        </w:rPr>
      </w:r>
      <w:r>
        <w:rPr>
          <w:rFonts w:ascii="Times New Roman" w:hAnsi="Times New Roman"/>
          <w:sz w:val="20"/>
          <w:szCs w:val="20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4. Сведения о доходах от имущества совершеннолетнего недееспособного гражданина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10506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3"/>
        <w:gridCol w:w="2639"/>
        <w:gridCol w:w="1575"/>
        <w:gridCol w:w="993"/>
        <w:gridCol w:w="2427"/>
        <w:gridCol w:w="2409"/>
      </w:tblGrid>
      <w:tr>
        <w:tblPrEx/>
        <w:trPr>
          <w:jc w:val="center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63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 п/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39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 имущества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75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Место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нахождения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(адрес)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93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Величина дохода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(рублей)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427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Наименование, номер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 дата акта об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изменении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имущественного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состояния &lt;*&gt;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409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 и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адрес кредитной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организации,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расчетный счет &lt;**&gt;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63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39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75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93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427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409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63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39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Доход от реализации и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сдачи в аренду (наем) недвижимого имущества (земельных участков,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домов, квартир, гаражей), транспортных и иных механических средств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75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93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427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409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63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39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Доход от вкладов в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банках и иных кредитных организациях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75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93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427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409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63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39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Доход от ценных бумаг и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долей участия в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коммерческих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организациях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75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93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427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409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63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39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Иные доходы (указать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вид дохода):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75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93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427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409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63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39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75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93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427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409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63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39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75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93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427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409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63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39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75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93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427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409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63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39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Итого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75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93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427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409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jc w:val="both"/>
        <w:spacing w:after="0" w:line="240" w:lineRule="auto"/>
        <w:widowControl w:val="off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&lt;*&gt; Указываются дата и номер акта органа опеки и попечительств</w:t>
      </w:r>
      <w:r>
        <w:rPr>
          <w:rFonts w:ascii="Times New Roman" w:hAnsi="Times New Roman"/>
          <w:sz w:val="20"/>
          <w:szCs w:val="20"/>
        </w:rPr>
        <w:t xml:space="preserve">а, разрешающего реализацию имущества совершеннолетнего недееспособного гражданина, принятого в случаях, предусмотренных законодательством Российской Федерации, а также номер и дата договора отчуждения имущества совершеннолетнего недееспособного гражданина.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&lt;**&gt; Указываются наименование, адрес кредитной организации, расчетный счет, на который поступил доход от имущества совершеннолетнего недееспособного гражданина.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Сведения о расходах, произв</w:t>
      </w:r>
      <w:r>
        <w:rPr>
          <w:rFonts w:ascii="Times New Roman" w:hAnsi="Times New Roman"/>
          <w:sz w:val="24"/>
          <w:szCs w:val="24"/>
        </w:rPr>
        <w:t xml:space="preserve">еденных за счет имущества совершеннолетнего недееспособного гражданина, включая сведения о расходовании сумм, зачисляемых на отдельный номинальный счет, открываемый опекуном в соответствии с пунктом 1 статьи 37 Гражданского кодекса Российской Федерации &lt;*&gt;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6210"/>
        <w:gridCol w:w="2782"/>
      </w:tblGrid>
      <w:tr>
        <w:tblPrEx/>
        <w:trPr>
          <w:jc w:val="center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 п/п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21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Вид расходов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782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Сумма расходов за отчетный период (рублей)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0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210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782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21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 счет средств, зачисляемых на отдельный номинальный счет, открытый опекуном: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782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63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1.1.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21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Оплата лечения совершеннолетнего недееспособного гражданина в медицинских организациях:</w:t>
            </w:r>
            <w:r>
              <w:rPr>
                <w:rFonts w:ascii="Times New Roman" w:hAnsi="Times New Roman"/>
              </w:rPr>
              <w:t xml:space="preserve"> 1) приобретение лекарств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782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none" w:color="000000" w:sz="4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63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21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</w:t>
            </w:r>
            <w:r>
              <w:rPr>
                <w:rFonts w:ascii="Times New Roman" w:hAnsi="Times New Roman"/>
              </w:rPr>
              <w:t xml:space="preserve">)</w:t>
            </w:r>
            <w:r>
              <w:rPr>
                <w:rFonts w:ascii="Times New Roman" w:hAnsi="Times New Roman"/>
              </w:rPr>
              <w:t xml:space="preserve"> Сбор анализов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782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21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</w:t>
            </w:r>
            <w:r>
              <w:rPr>
                <w:rFonts w:ascii="Times New Roman" w:hAnsi="Times New Roman"/>
              </w:rPr>
              <w:t xml:space="preserve">)</w:t>
            </w:r>
            <w:r>
              <w:rPr>
                <w:rFonts w:ascii="Times New Roman" w:hAnsi="Times New Roman"/>
              </w:rPr>
              <w:t xml:space="preserve">УЗИ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782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63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1.2.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21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Приобретение товаров длительного пользования, стоимость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которых превышает установленный в соответствии с законом двукратный размер величины прожиточного минимума на душу населения в целом по Российской Федерации: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782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none" w:color="000000" w:sz="4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63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21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782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21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782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630" w:type="dxa"/>
            <w:vMerge w:val="restart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1.3.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21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Оплата жилья и жилищно-коммунальных услуг: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782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none" w:color="000000" w:sz="4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630" w:type="dxa"/>
            <w:vMerge w:val="continue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21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1)</w:t>
            </w:r>
            <w:r>
              <w:rPr>
                <w:rFonts w:ascii="Times New Roman" w:hAnsi="Times New Roman"/>
              </w:rPr>
              <w:t xml:space="preserve">оплата ЖКХ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782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0" w:type="dxa"/>
            <w:vMerge w:val="continue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21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782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630" w:type="dxa"/>
            <w:vMerge w:val="restart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1.4.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21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Прочие расходы&lt;**&gt;:</w:t>
            </w:r>
            <w:r>
              <w:rPr>
                <w:rFonts w:ascii="Times New Roman" w:hAnsi="Times New Roman"/>
              </w:rPr>
              <w:t xml:space="preserve"> 1) </w:t>
            </w:r>
            <w:r>
              <w:rPr>
                <w:rFonts w:ascii="Times New Roman" w:hAnsi="Times New Roman"/>
              </w:rPr>
              <w:t xml:space="preserve">бытовая химия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782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none" w:color="000000" w:sz="4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630" w:type="dxa"/>
            <w:vMerge w:val="continue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21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</w:t>
            </w:r>
            <w:r>
              <w:rPr>
                <w:rFonts w:ascii="Times New Roman" w:hAnsi="Times New Roman"/>
              </w:rPr>
              <w:t xml:space="preserve">)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мелкие бытовые нужды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782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0" w:type="dxa"/>
            <w:vMerge w:val="continue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21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</w:t>
            </w:r>
            <w:r>
              <w:rPr>
                <w:rFonts w:ascii="Times New Roman" w:hAnsi="Times New Roman"/>
              </w:rPr>
              <w:t xml:space="preserve">)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продукты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782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21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4) </w:t>
            </w:r>
            <w:r>
              <w:rPr>
                <w:rFonts w:ascii="Times New Roman" w:hAnsi="Times New Roman"/>
              </w:rPr>
              <w:t xml:space="preserve">одежда и обувь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782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21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5)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782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21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 счет средств, не зачисляемых на отдельный номинальный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счет, открытый опекуном: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782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2.1.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21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Оплата лечения совершеннолетнего недееспособного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гражданина в медицинских организациях: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782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21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782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21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782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630" w:type="dxa"/>
            <w:vMerge w:val="restart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2.2.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21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Приобретение товаров длительного пользования, стоимость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которых превышает установленный в соответствии с законом двукратный размер величины прожиточного минимума на душу населения в целом по Российской Федерации: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782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none" w:color="000000" w:sz="4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630" w:type="dxa"/>
            <w:vMerge w:val="continue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21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782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0" w:type="dxa"/>
            <w:vMerge w:val="continue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21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782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630" w:type="dxa"/>
            <w:vMerge w:val="restart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2.3.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21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Оплата жилья и жилищно-коммунальных услуг: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782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none" w:color="000000" w:sz="4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630" w:type="dxa"/>
            <w:vMerge w:val="continue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21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1)</w:t>
            </w:r>
            <w:r>
              <w:rPr>
                <w:rFonts w:ascii="Times New Roman" w:hAnsi="Times New Roman"/>
              </w:rPr>
              <w:t xml:space="preserve">оплата ЖКХ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782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0" w:type="dxa"/>
            <w:vMerge w:val="continue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21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782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630" w:type="dxa"/>
            <w:vMerge w:val="restart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2.4.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21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Прочие расходы &lt;**&gt;: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782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none" w:color="000000" w:sz="4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630" w:type="dxa"/>
            <w:vMerge w:val="continue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21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782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0" w:type="dxa"/>
            <w:vMerge w:val="continue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21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782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21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Итого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782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ind w:right="-426"/>
        <w:jc w:val="both"/>
        <w:spacing w:after="0" w:line="240" w:lineRule="auto"/>
        <w:widowControl w:val="off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&lt;*&gt; Опекун, который является родителем или усыновителем совершеннолетнего подо</w:t>
      </w:r>
      <w:r>
        <w:rPr>
          <w:rFonts w:ascii="Times New Roman" w:hAnsi="Times New Roman"/>
          <w:sz w:val="20"/>
          <w:szCs w:val="20"/>
        </w:rPr>
        <w:t xml:space="preserve">печного, являющегося инвалидом с детства, совместно с ним проживающим и воспитывавшим его с рождения (момента усыновления) и до достижения им возраста 18 лет, вправе не включать в отчет сведения о расходовании им сумм, зачисляемых на отдельный номинальный </w:t>
      </w:r>
      <w:r>
        <w:rPr>
          <w:rFonts w:ascii="Times New Roman" w:hAnsi="Times New Roman"/>
          <w:sz w:val="20"/>
          <w:szCs w:val="20"/>
        </w:rPr>
        <w:t xml:space="preserve">счет, отк</w:t>
      </w:r>
      <w:r>
        <w:rPr>
          <w:rFonts w:ascii="Times New Roman" w:hAnsi="Times New Roman"/>
          <w:sz w:val="20"/>
          <w:szCs w:val="20"/>
        </w:rPr>
        <w:t xml:space="preserve">рытый опекуном. Орган опеки и попечительства при обнаружении ненадлежащего исполнения этим опекуном обязанностей по охране имущества совершеннолетнего подопечного и управлению имуществом совершеннолетнего подопечного вправе потребовать от этого опекуна пре</w:t>
      </w:r>
      <w:r>
        <w:rPr>
          <w:rFonts w:ascii="Times New Roman" w:hAnsi="Times New Roman"/>
          <w:sz w:val="20"/>
          <w:szCs w:val="20"/>
        </w:rPr>
        <w:t xml:space="preserve">дставления отчета о хранении, об использовании имущества совершеннолетнего подопечного и управлении этим имуществом за предыдущие периоды, содержащего сведения о расходовании этим опекуном сумм, зачисляемых на отдельный номинальный счет, открытый опекуном.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ind w:right="-426"/>
        <w:jc w:val="both"/>
        <w:spacing w:after="150" w:line="240" w:lineRule="auto"/>
        <w:widowControl w:val="off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&lt;**&gt; Указываются сведения об иных расходах, произведенных за счет средств совершеннолетнего недееспо</w:t>
      </w:r>
      <w:r>
        <w:rPr>
          <w:rFonts w:ascii="Times New Roman" w:hAnsi="Times New Roman"/>
          <w:sz w:val="20"/>
          <w:szCs w:val="20"/>
        </w:rPr>
        <w:t xml:space="preserve">собного гражданина, в том числе о расходах на оплату проезда совершеннолетнего недееспособного гражданина к месту лечения и (или) обратно, ремонта жилого помещения совершеннолетнего недееспособного гражданина, услуг по уходу, услуг по реабилитации и (или) </w:t>
      </w:r>
      <w:r>
        <w:rPr>
          <w:rFonts w:ascii="Times New Roman" w:hAnsi="Times New Roman"/>
          <w:sz w:val="20"/>
          <w:szCs w:val="20"/>
        </w:rPr>
        <w:t xml:space="preserve">абилитации</w:t>
      </w:r>
      <w:r>
        <w:rPr>
          <w:rFonts w:ascii="Times New Roman" w:hAnsi="Times New Roman"/>
          <w:sz w:val="20"/>
          <w:szCs w:val="20"/>
        </w:rPr>
        <w:t xml:space="preserve">, социальных услуг (при необходимости), расходах на питание, предметы первой необходимости и прочие мелкие бытовые нужды.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ind w:right="-426"/>
        <w:jc w:val="center"/>
        <w:spacing w:after="15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Сведения об уплате налогов на имущество совершеннолетнего недееспособного гражданина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10167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9"/>
        <w:gridCol w:w="2769"/>
        <w:gridCol w:w="2160"/>
        <w:gridCol w:w="4689"/>
      </w:tblGrid>
      <w:tr>
        <w:tblPrEx/>
        <w:trPr>
          <w:jc w:val="center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49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п/п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769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 налога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160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уплаты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689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Наименование, номер и дата платежного документа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49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769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160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689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49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769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160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689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ind w:right="-426"/>
        <w:jc w:val="both"/>
        <w:spacing w:after="0" w:line="240" w:lineRule="auto"/>
        <w:widowControl w:val="off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К настоящему отчету прилагаются копии документов, указанных в подпунктах 1.1 - 1.3, 1.4.1 и 1.4.2, пунктах 2 - 6 настоящего отчета, в том числе копии товарных чеков, квитанции об уплате налогов,</w:t>
      </w:r>
      <w:r>
        <w:rPr>
          <w:rFonts w:ascii="Times New Roman" w:hAnsi="Times New Roman"/>
          <w:sz w:val="20"/>
          <w:szCs w:val="20"/>
        </w:rPr>
        <w:t xml:space="preserve"> страховых сумм и другие платежные документы, за исключением документов, подтверждающих сведения о произведенных за счет средств недееспособного гражданина расходах на питание, предметы первой необходимости и прочие мелкие бытовые нужды, на _______ листах.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9"/>
        <w:gridCol w:w="4160"/>
        <w:gridCol w:w="796"/>
        <w:gridCol w:w="3557"/>
      </w:tblGrid>
      <w:tr>
        <w:tblPrEx/>
        <w:trPr>
          <w:jc w:val="center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29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Опекун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6" w:space="0"/>
              <w:right w:val="none" w:color="000000" w:sz="4" w:space="0"/>
            </w:tcBorders>
            <w:tcW w:w="4160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6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6" w:space="0"/>
              <w:right w:val="none" w:color="000000" w:sz="4" w:space="0"/>
            </w:tcBorders>
            <w:tcW w:w="3557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29" w:type="dxa"/>
            <w:textDirection w:val="lrTb"/>
            <w:noWrap w:val="false"/>
          </w:tcPr>
          <w:p>
            <w:pPr>
              <w:ind w:right="-42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160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(подпись)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6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57" w:type="dxa"/>
            <w:textDirection w:val="lrTb"/>
            <w:noWrap w:val="false"/>
          </w:tcPr>
          <w:p>
            <w:pPr>
              <w:ind w:right="-42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(расшифровка подписи)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ind w:right="-426"/>
        <w:jc w:val="both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right="-426"/>
        <w:jc w:val="both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right="-426"/>
        <w:jc w:val="both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"___" _______________ 20__ г.".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right="-426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right="-426"/>
      </w:pPr>
      <w:r/>
      <w:r/>
    </w:p>
    <w:sectPr>
      <w:footnotePr/>
      <w:endnotePr/>
      <w:type w:val="nextPage"/>
      <w:pgSz w:w="11906" w:h="16838" w:orient="portrait"/>
      <w:pgMar w:top="568" w:right="850" w:bottom="1134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TimesNewRomanPSMT">
    <w:panose1 w:val="02000603000000000000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8">
    <w:name w:val="Heading 1"/>
    <w:basedOn w:val="835"/>
    <w:next w:val="835"/>
    <w:link w:val="65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9">
    <w:name w:val="Heading 1 Char"/>
    <w:basedOn w:val="836"/>
    <w:link w:val="658"/>
    <w:uiPriority w:val="9"/>
    <w:rPr>
      <w:rFonts w:ascii="Arial" w:hAnsi="Arial" w:eastAsia="Arial" w:cs="Arial"/>
      <w:sz w:val="40"/>
      <w:szCs w:val="40"/>
    </w:rPr>
  </w:style>
  <w:style w:type="paragraph" w:styleId="660">
    <w:name w:val="Heading 2"/>
    <w:basedOn w:val="835"/>
    <w:next w:val="835"/>
    <w:link w:val="66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1">
    <w:name w:val="Heading 2 Char"/>
    <w:basedOn w:val="836"/>
    <w:link w:val="660"/>
    <w:uiPriority w:val="9"/>
    <w:rPr>
      <w:rFonts w:ascii="Arial" w:hAnsi="Arial" w:eastAsia="Arial" w:cs="Arial"/>
      <w:sz w:val="34"/>
    </w:rPr>
  </w:style>
  <w:style w:type="paragraph" w:styleId="662">
    <w:name w:val="Heading 3"/>
    <w:basedOn w:val="835"/>
    <w:next w:val="835"/>
    <w:link w:val="66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3">
    <w:name w:val="Heading 3 Char"/>
    <w:basedOn w:val="836"/>
    <w:link w:val="662"/>
    <w:uiPriority w:val="9"/>
    <w:rPr>
      <w:rFonts w:ascii="Arial" w:hAnsi="Arial" w:eastAsia="Arial" w:cs="Arial"/>
      <w:sz w:val="30"/>
      <w:szCs w:val="30"/>
    </w:rPr>
  </w:style>
  <w:style w:type="paragraph" w:styleId="664">
    <w:name w:val="Heading 4"/>
    <w:basedOn w:val="835"/>
    <w:next w:val="835"/>
    <w:link w:val="66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5">
    <w:name w:val="Heading 4 Char"/>
    <w:basedOn w:val="836"/>
    <w:link w:val="664"/>
    <w:uiPriority w:val="9"/>
    <w:rPr>
      <w:rFonts w:ascii="Arial" w:hAnsi="Arial" w:eastAsia="Arial" w:cs="Arial"/>
      <w:b/>
      <w:bCs/>
      <w:sz w:val="26"/>
      <w:szCs w:val="26"/>
    </w:rPr>
  </w:style>
  <w:style w:type="paragraph" w:styleId="666">
    <w:name w:val="Heading 5"/>
    <w:basedOn w:val="835"/>
    <w:next w:val="835"/>
    <w:link w:val="66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7">
    <w:name w:val="Heading 5 Char"/>
    <w:basedOn w:val="836"/>
    <w:link w:val="666"/>
    <w:uiPriority w:val="9"/>
    <w:rPr>
      <w:rFonts w:ascii="Arial" w:hAnsi="Arial" w:eastAsia="Arial" w:cs="Arial"/>
      <w:b/>
      <w:bCs/>
      <w:sz w:val="24"/>
      <w:szCs w:val="24"/>
    </w:rPr>
  </w:style>
  <w:style w:type="paragraph" w:styleId="668">
    <w:name w:val="Heading 6"/>
    <w:basedOn w:val="835"/>
    <w:next w:val="835"/>
    <w:link w:val="66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9">
    <w:name w:val="Heading 6 Char"/>
    <w:basedOn w:val="836"/>
    <w:link w:val="668"/>
    <w:uiPriority w:val="9"/>
    <w:rPr>
      <w:rFonts w:ascii="Arial" w:hAnsi="Arial" w:eastAsia="Arial" w:cs="Arial"/>
      <w:b/>
      <w:bCs/>
      <w:sz w:val="22"/>
      <w:szCs w:val="22"/>
    </w:rPr>
  </w:style>
  <w:style w:type="paragraph" w:styleId="670">
    <w:name w:val="Heading 7"/>
    <w:basedOn w:val="835"/>
    <w:next w:val="835"/>
    <w:link w:val="67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1">
    <w:name w:val="Heading 7 Char"/>
    <w:basedOn w:val="836"/>
    <w:link w:val="67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2">
    <w:name w:val="Heading 8"/>
    <w:basedOn w:val="835"/>
    <w:next w:val="835"/>
    <w:link w:val="67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3">
    <w:name w:val="Heading 8 Char"/>
    <w:basedOn w:val="836"/>
    <w:link w:val="672"/>
    <w:uiPriority w:val="9"/>
    <w:rPr>
      <w:rFonts w:ascii="Arial" w:hAnsi="Arial" w:eastAsia="Arial" w:cs="Arial"/>
      <w:i/>
      <w:iCs/>
      <w:sz w:val="22"/>
      <w:szCs w:val="22"/>
    </w:rPr>
  </w:style>
  <w:style w:type="paragraph" w:styleId="674">
    <w:name w:val="Heading 9"/>
    <w:basedOn w:val="835"/>
    <w:next w:val="835"/>
    <w:link w:val="67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5">
    <w:name w:val="Heading 9 Char"/>
    <w:basedOn w:val="836"/>
    <w:link w:val="674"/>
    <w:uiPriority w:val="9"/>
    <w:rPr>
      <w:rFonts w:ascii="Arial" w:hAnsi="Arial" w:eastAsia="Arial" w:cs="Arial"/>
      <w:i/>
      <w:iCs/>
      <w:sz w:val="21"/>
      <w:szCs w:val="21"/>
    </w:rPr>
  </w:style>
  <w:style w:type="paragraph" w:styleId="676">
    <w:name w:val="No Spacing"/>
    <w:uiPriority w:val="1"/>
    <w:qFormat/>
    <w:pPr>
      <w:spacing w:before="0" w:after="0" w:line="240" w:lineRule="auto"/>
    </w:pPr>
  </w:style>
  <w:style w:type="paragraph" w:styleId="677">
    <w:name w:val="Title"/>
    <w:basedOn w:val="835"/>
    <w:next w:val="835"/>
    <w:link w:val="67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8">
    <w:name w:val="Title Char"/>
    <w:basedOn w:val="836"/>
    <w:link w:val="677"/>
    <w:uiPriority w:val="10"/>
    <w:rPr>
      <w:sz w:val="48"/>
      <w:szCs w:val="48"/>
    </w:rPr>
  </w:style>
  <w:style w:type="paragraph" w:styleId="679">
    <w:name w:val="Subtitle"/>
    <w:basedOn w:val="835"/>
    <w:next w:val="835"/>
    <w:link w:val="680"/>
    <w:uiPriority w:val="11"/>
    <w:qFormat/>
    <w:pPr>
      <w:spacing w:before="200" w:after="200"/>
    </w:pPr>
    <w:rPr>
      <w:sz w:val="24"/>
      <w:szCs w:val="24"/>
    </w:rPr>
  </w:style>
  <w:style w:type="character" w:styleId="680">
    <w:name w:val="Subtitle Char"/>
    <w:basedOn w:val="836"/>
    <w:link w:val="679"/>
    <w:uiPriority w:val="11"/>
    <w:rPr>
      <w:sz w:val="24"/>
      <w:szCs w:val="24"/>
    </w:rPr>
  </w:style>
  <w:style w:type="paragraph" w:styleId="681">
    <w:name w:val="Quote"/>
    <w:basedOn w:val="835"/>
    <w:next w:val="835"/>
    <w:link w:val="682"/>
    <w:uiPriority w:val="29"/>
    <w:qFormat/>
    <w:pPr>
      <w:ind w:left="720" w:right="720"/>
    </w:pPr>
    <w:rPr>
      <w:i/>
    </w:rPr>
  </w:style>
  <w:style w:type="character" w:styleId="682">
    <w:name w:val="Quote Char"/>
    <w:link w:val="681"/>
    <w:uiPriority w:val="29"/>
    <w:rPr>
      <w:i/>
    </w:rPr>
  </w:style>
  <w:style w:type="paragraph" w:styleId="683">
    <w:name w:val="Intense Quote"/>
    <w:basedOn w:val="835"/>
    <w:next w:val="835"/>
    <w:link w:val="68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4">
    <w:name w:val="Intense Quote Char"/>
    <w:link w:val="683"/>
    <w:uiPriority w:val="30"/>
    <w:rPr>
      <w:i/>
    </w:rPr>
  </w:style>
  <w:style w:type="paragraph" w:styleId="685">
    <w:name w:val="Header"/>
    <w:basedOn w:val="835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Header Char"/>
    <w:basedOn w:val="836"/>
    <w:link w:val="685"/>
    <w:uiPriority w:val="99"/>
  </w:style>
  <w:style w:type="paragraph" w:styleId="687">
    <w:name w:val="Footer"/>
    <w:basedOn w:val="835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8">
    <w:name w:val="Footer Char"/>
    <w:basedOn w:val="836"/>
    <w:link w:val="687"/>
    <w:uiPriority w:val="99"/>
  </w:style>
  <w:style w:type="paragraph" w:styleId="689">
    <w:name w:val="Caption"/>
    <w:basedOn w:val="835"/>
    <w:next w:val="835"/>
    <w:link w:val="69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0">
    <w:name w:val="Caption Char"/>
    <w:basedOn w:val="836"/>
    <w:link w:val="689"/>
    <w:uiPriority w:val="35"/>
    <w:rPr>
      <w:b/>
      <w:bCs/>
      <w:color w:val="4f81bd" w:themeColor="accent1"/>
      <w:sz w:val="18"/>
      <w:szCs w:val="18"/>
    </w:rPr>
  </w:style>
  <w:style w:type="table" w:styleId="691">
    <w:name w:val="Table Grid"/>
    <w:basedOn w:val="83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Table Grid Light"/>
    <w:basedOn w:val="83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3">
    <w:name w:val="Plain Table 1"/>
    <w:basedOn w:val="83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2"/>
    <w:basedOn w:val="83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5">
    <w:name w:val="Plain Table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6">
    <w:name w:val="Plain Table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Plain Table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8">
    <w:name w:val="Grid Table 1 Light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4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0">
    <w:name w:val="Grid Table 4 - Accent 1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1">
    <w:name w:val="Grid Table 4 - Accent 2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2">
    <w:name w:val="Grid Table 4 - Accent 3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3">
    <w:name w:val="Grid Table 4 - Accent 4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4">
    <w:name w:val="Grid Table 4 - Accent 5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5">
    <w:name w:val="Grid Table 4 - Accent 6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6">
    <w:name w:val="Grid Table 5 Dark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0">
    <w:name w:val="Grid Table 5 Dark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3">
    <w:name w:val="Grid Table 6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4">
    <w:name w:val="Grid Table 6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5">
    <w:name w:val="Grid Table 6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6">
    <w:name w:val="Grid Table 6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7">
    <w:name w:val="Grid Table 6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8">
    <w:name w:val="Grid Table 6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9">
    <w:name w:val="Grid Table 6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0">
    <w:name w:val="Grid Table 7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5">
    <w:name w:val="List Table 2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6">
    <w:name w:val="List Table 2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7">
    <w:name w:val="List Table 2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8">
    <w:name w:val="List Table 2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9">
    <w:name w:val="List Table 2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0">
    <w:name w:val="List Table 2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1">
    <w:name w:val="List Table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5 Dark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6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3">
    <w:name w:val="List Table 6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4">
    <w:name w:val="List Table 6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5">
    <w:name w:val="List Table 6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6">
    <w:name w:val="List Table 6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7">
    <w:name w:val="List Table 6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8">
    <w:name w:val="List Table 6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9">
    <w:name w:val="List Table 7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0">
    <w:name w:val="List Table 7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1">
    <w:name w:val="List Table 7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2">
    <w:name w:val="List Table 7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3">
    <w:name w:val="List Table 7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4">
    <w:name w:val="List Table 7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5">
    <w:name w:val="List Table 7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6">
    <w:name w:val="Lined - Accent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7">
    <w:name w:val="Lined - Accent 1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8">
    <w:name w:val="Lined - Accent 2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9">
    <w:name w:val="Lined - Accent 3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0">
    <w:name w:val="Lined - Accent 4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1">
    <w:name w:val="Lined - Accent 5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2">
    <w:name w:val="Lined - Accent 6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3">
    <w:name w:val="Bordered &amp; Lined - Accent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4">
    <w:name w:val="Bordered &amp; Lined - Accent 1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5">
    <w:name w:val="Bordered &amp; Lined - Accent 2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6">
    <w:name w:val="Bordered &amp; Lined - Accent 3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7">
    <w:name w:val="Bordered &amp; Lined - Accent 4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8">
    <w:name w:val="Bordered &amp; Lined - Accent 5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9">
    <w:name w:val="Bordered &amp; Lined - Accent 6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0">
    <w:name w:val="Bordered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1">
    <w:name w:val="Bordered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2">
    <w:name w:val="Bordered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3">
    <w:name w:val="Bordered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4">
    <w:name w:val="Bordered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5">
    <w:name w:val="Bordered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6">
    <w:name w:val="Bordered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7">
    <w:name w:val="Hyperlink"/>
    <w:uiPriority w:val="99"/>
    <w:unhideWhenUsed/>
    <w:rPr>
      <w:color w:val="0000ff" w:themeColor="hyperlink"/>
      <w:u w:val="single"/>
    </w:rPr>
  </w:style>
  <w:style w:type="paragraph" w:styleId="818">
    <w:name w:val="footnote text"/>
    <w:basedOn w:val="835"/>
    <w:link w:val="819"/>
    <w:uiPriority w:val="99"/>
    <w:semiHidden/>
    <w:unhideWhenUsed/>
    <w:pPr>
      <w:spacing w:after="40" w:line="240" w:lineRule="auto"/>
    </w:pPr>
    <w:rPr>
      <w:sz w:val="18"/>
    </w:rPr>
  </w:style>
  <w:style w:type="character" w:styleId="819">
    <w:name w:val="Footnote Text Char"/>
    <w:link w:val="818"/>
    <w:uiPriority w:val="99"/>
    <w:rPr>
      <w:sz w:val="18"/>
    </w:rPr>
  </w:style>
  <w:style w:type="character" w:styleId="820">
    <w:name w:val="footnote reference"/>
    <w:basedOn w:val="836"/>
    <w:uiPriority w:val="99"/>
    <w:unhideWhenUsed/>
    <w:rPr>
      <w:vertAlign w:val="superscript"/>
    </w:rPr>
  </w:style>
  <w:style w:type="paragraph" w:styleId="821">
    <w:name w:val="endnote text"/>
    <w:basedOn w:val="835"/>
    <w:link w:val="822"/>
    <w:uiPriority w:val="99"/>
    <w:semiHidden/>
    <w:unhideWhenUsed/>
    <w:pPr>
      <w:spacing w:after="0" w:line="240" w:lineRule="auto"/>
    </w:pPr>
    <w:rPr>
      <w:sz w:val="20"/>
    </w:rPr>
  </w:style>
  <w:style w:type="character" w:styleId="822">
    <w:name w:val="Endnote Text Char"/>
    <w:link w:val="821"/>
    <w:uiPriority w:val="99"/>
    <w:rPr>
      <w:sz w:val="20"/>
    </w:rPr>
  </w:style>
  <w:style w:type="character" w:styleId="823">
    <w:name w:val="endnote reference"/>
    <w:basedOn w:val="836"/>
    <w:uiPriority w:val="99"/>
    <w:semiHidden/>
    <w:unhideWhenUsed/>
    <w:rPr>
      <w:vertAlign w:val="superscript"/>
    </w:rPr>
  </w:style>
  <w:style w:type="paragraph" w:styleId="824">
    <w:name w:val="toc 1"/>
    <w:basedOn w:val="835"/>
    <w:next w:val="835"/>
    <w:uiPriority w:val="39"/>
    <w:unhideWhenUsed/>
    <w:pPr>
      <w:ind w:left="0" w:right="0" w:firstLine="0"/>
      <w:spacing w:after="57"/>
    </w:pPr>
  </w:style>
  <w:style w:type="paragraph" w:styleId="825">
    <w:name w:val="toc 2"/>
    <w:basedOn w:val="835"/>
    <w:next w:val="835"/>
    <w:uiPriority w:val="39"/>
    <w:unhideWhenUsed/>
    <w:pPr>
      <w:ind w:left="283" w:right="0" w:firstLine="0"/>
      <w:spacing w:after="57"/>
    </w:pPr>
  </w:style>
  <w:style w:type="paragraph" w:styleId="826">
    <w:name w:val="toc 3"/>
    <w:basedOn w:val="835"/>
    <w:next w:val="835"/>
    <w:uiPriority w:val="39"/>
    <w:unhideWhenUsed/>
    <w:pPr>
      <w:ind w:left="567" w:right="0" w:firstLine="0"/>
      <w:spacing w:after="57"/>
    </w:pPr>
  </w:style>
  <w:style w:type="paragraph" w:styleId="827">
    <w:name w:val="toc 4"/>
    <w:basedOn w:val="835"/>
    <w:next w:val="835"/>
    <w:uiPriority w:val="39"/>
    <w:unhideWhenUsed/>
    <w:pPr>
      <w:ind w:left="850" w:right="0" w:firstLine="0"/>
      <w:spacing w:after="57"/>
    </w:pPr>
  </w:style>
  <w:style w:type="paragraph" w:styleId="828">
    <w:name w:val="toc 5"/>
    <w:basedOn w:val="835"/>
    <w:next w:val="835"/>
    <w:uiPriority w:val="39"/>
    <w:unhideWhenUsed/>
    <w:pPr>
      <w:ind w:left="1134" w:right="0" w:firstLine="0"/>
      <w:spacing w:after="57"/>
    </w:pPr>
  </w:style>
  <w:style w:type="paragraph" w:styleId="829">
    <w:name w:val="toc 6"/>
    <w:basedOn w:val="835"/>
    <w:next w:val="835"/>
    <w:uiPriority w:val="39"/>
    <w:unhideWhenUsed/>
    <w:pPr>
      <w:ind w:left="1417" w:right="0" w:firstLine="0"/>
      <w:spacing w:after="57"/>
    </w:pPr>
  </w:style>
  <w:style w:type="paragraph" w:styleId="830">
    <w:name w:val="toc 7"/>
    <w:basedOn w:val="835"/>
    <w:next w:val="835"/>
    <w:uiPriority w:val="39"/>
    <w:unhideWhenUsed/>
    <w:pPr>
      <w:ind w:left="1701" w:right="0" w:firstLine="0"/>
      <w:spacing w:after="57"/>
    </w:pPr>
  </w:style>
  <w:style w:type="paragraph" w:styleId="831">
    <w:name w:val="toc 8"/>
    <w:basedOn w:val="835"/>
    <w:next w:val="835"/>
    <w:uiPriority w:val="39"/>
    <w:unhideWhenUsed/>
    <w:pPr>
      <w:ind w:left="1984" w:right="0" w:firstLine="0"/>
      <w:spacing w:after="57"/>
    </w:pPr>
  </w:style>
  <w:style w:type="paragraph" w:styleId="832">
    <w:name w:val="toc 9"/>
    <w:basedOn w:val="835"/>
    <w:next w:val="835"/>
    <w:uiPriority w:val="39"/>
    <w:unhideWhenUsed/>
    <w:pPr>
      <w:ind w:left="2268" w:right="0" w:firstLine="0"/>
      <w:spacing w:after="57"/>
    </w:pPr>
  </w:style>
  <w:style w:type="paragraph" w:styleId="833">
    <w:name w:val="TOC Heading"/>
    <w:uiPriority w:val="39"/>
    <w:unhideWhenUsed/>
  </w:style>
  <w:style w:type="paragraph" w:styleId="834">
    <w:name w:val="table of figures"/>
    <w:basedOn w:val="835"/>
    <w:next w:val="835"/>
    <w:uiPriority w:val="99"/>
    <w:unhideWhenUsed/>
    <w:pPr>
      <w:spacing w:after="0" w:afterAutospacing="0"/>
    </w:pPr>
  </w:style>
  <w:style w:type="paragraph" w:styleId="835" w:default="1">
    <w:name w:val="Normal"/>
    <w:qFormat/>
    <w:rPr>
      <w:rFonts w:ascii="Calibri" w:hAnsi="Calibri" w:eastAsia="Calibri" w:cs="Times New Roman"/>
    </w:rPr>
  </w:style>
  <w:style w:type="character" w:styleId="836" w:default="1">
    <w:name w:val="Default Paragraph Font"/>
    <w:uiPriority w:val="1"/>
    <w:semiHidden/>
    <w:unhideWhenUsed/>
  </w:style>
  <w:style w:type="table" w:styleId="83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8" w:default="1">
    <w:name w:val="No List"/>
    <w:uiPriority w:val="99"/>
    <w:semiHidden/>
    <w:unhideWhenUsed/>
  </w:style>
  <w:style w:type="paragraph" w:styleId="839">
    <w:name w:val="List Paragraph"/>
    <w:basedOn w:val="835"/>
    <w:uiPriority w:val="34"/>
    <w:qFormat/>
    <w:pPr>
      <w:contextualSpacing/>
      <w:ind w:left="720"/>
    </w:pPr>
  </w:style>
  <w:style w:type="character" w:styleId="840" w:customStyle="1">
    <w:name w:val="fontstyle01"/>
    <w:basedOn w:val="836"/>
    <w:rPr>
      <w:rFonts w:hint="default" w:ascii="TimesNewRomanPSMT" w:hAnsi="TimesNewRomanPSMT"/>
      <w:b w:val="0"/>
      <w:bCs w:val="0"/>
      <w:i w:val="0"/>
      <w:iCs w:val="0"/>
      <w:color w:val="000000"/>
      <w:sz w:val="20"/>
      <w:szCs w:val="20"/>
    </w:rPr>
  </w:style>
  <w:style w:type="paragraph" w:styleId="841">
    <w:name w:val="Balloon Text"/>
    <w:basedOn w:val="835"/>
    <w:link w:val="842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42" w:customStyle="1">
    <w:name w:val="Текст выноски Знак"/>
    <w:basedOn w:val="836"/>
    <w:link w:val="841"/>
    <w:uiPriority w:val="99"/>
    <w:semiHidden/>
    <w:rPr>
      <w:rFonts w:ascii="Segoe UI" w:hAnsi="Segoe UI" w:eastAsia="Calibr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https://normativ.kontur.ru/document?moduleid=1&amp;documentid=461821" TargetMode="External"/><Relationship Id="rId11" Type="http://schemas.openxmlformats.org/officeDocument/2006/relationships/hyperlink" Target="https://normativ.kontur.ru/document?moduleid=1&amp;documentid=461821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B29110-ED61-4208-BAA5-1A25E0064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opeka21</dc:creator>
  <cp:lastModifiedBy>uszn016</cp:lastModifiedBy>
  <cp:revision>6</cp:revision>
  <dcterms:created xsi:type="dcterms:W3CDTF">2026-01-20T07:07:00Z</dcterms:created>
  <dcterms:modified xsi:type="dcterms:W3CDTF">2026-07-01T09:41:56Z</dcterms:modified>
</cp:coreProperties>
</file>